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AB84" w14:textId="77777777" w:rsidR="00025AB6" w:rsidRPr="00884821" w:rsidRDefault="00025AB6">
      <w:pPr>
        <w:spacing w:before="8" w:line="180" w:lineRule="exact"/>
        <w:rPr>
          <w:sz w:val="19"/>
          <w:szCs w:val="19"/>
          <w:lang w:val="en-GB"/>
        </w:rPr>
      </w:pPr>
    </w:p>
    <w:p w14:paraId="5265B70D" w14:textId="77777777" w:rsidR="00025AB6" w:rsidRPr="00884821" w:rsidRDefault="00025AB6">
      <w:pPr>
        <w:spacing w:line="200" w:lineRule="exact"/>
        <w:rPr>
          <w:lang w:val="en-GB"/>
        </w:rPr>
      </w:pPr>
    </w:p>
    <w:p w14:paraId="232C4E3B" w14:textId="77777777" w:rsidR="00025AB6" w:rsidRPr="00884821" w:rsidRDefault="00025AB6">
      <w:pPr>
        <w:spacing w:line="200" w:lineRule="exact"/>
        <w:rPr>
          <w:lang w:val="en-GB"/>
        </w:rPr>
      </w:pPr>
    </w:p>
    <w:p w14:paraId="75C20579" w14:textId="77777777" w:rsidR="00025AB6" w:rsidRPr="00884821" w:rsidRDefault="001B1D6D">
      <w:pPr>
        <w:spacing w:before="21"/>
        <w:ind w:left="4167" w:right="4170"/>
        <w:jc w:val="center"/>
        <w:rPr>
          <w:sz w:val="30"/>
          <w:szCs w:val="30"/>
          <w:lang w:val="en-GB"/>
        </w:rPr>
      </w:pPr>
      <w:r w:rsidRPr="00884821">
        <w:rPr>
          <w:sz w:val="30"/>
          <w:szCs w:val="30"/>
          <w:u w:val="double" w:color="000000"/>
          <w:lang w:val="en-GB"/>
        </w:rPr>
        <w:t xml:space="preserve">UAB </w:t>
      </w:r>
      <w:proofErr w:type="spellStart"/>
      <w:r w:rsidRPr="00884821">
        <w:rPr>
          <w:sz w:val="30"/>
          <w:szCs w:val="30"/>
          <w:u w:val="double" w:color="000000"/>
          <w:lang w:val="en-GB"/>
        </w:rPr>
        <w:t>Raimda</w:t>
      </w:r>
      <w:proofErr w:type="spellEnd"/>
      <w:r w:rsidRPr="00884821">
        <w:rPr>
          <w:sz w:val="30"/>
          <w:szCs w:val="30"/>
          <w:u w:val="double" w:color="000000"/>
          <w:lang w:val="en-GB"/>
        </w:rPr>
        <w:t xml:space="preserve"> </w:t>
      </w:r>
      <w:proofErr w:type="spellStart"/>
      <w:r w:rsidRPr="00884821">
        <w:rPr>
          <w:sz w:val="30"/>
          <w:szCs w:val="30"/>
          <w:u w:val="double" w:color="000000"/>
          <w:lang w:val="en-GB"/>
        </w:rPr>
        <w:t>auditas</w:t>
      </w:r>
      <w:proofErr w:type="spellEnd"/>
    </w:p>
    <w:p w14:paraId="2F58DD35" w14:textId="633245E7" w:rsidR="00025AB6" w:rsidRPr="00884821" w:rsidRDefault="000E38EF">
      <w:pPr>
        <w:spacing w:before="25"/>
        <w:ind w:left="2694" w:right="2696"/>
        <w:jc w:val="center"/>
        <w:rPr>
          <w:sz w:val="24"/>
          <w:szCs w:val="24"/>
          <w:lang w:val="en-GB"/>
        </w:rPr>
      </w:pPr>
      <w:r w:rsidRPr="00884821">
        <w:rPr>
          <w:sz w:val="24"/>
          <w:szCs w:val="24"/>
          <w:lang w:val="en-GB"/>
        </w:rPr>
        <w:t>Company code</w:t>
      </w:r>
      <w:r w:rsidR="001B1D6D" w:rsidRPr="00884821">
        <w:rPr>
          <w:sz w:val="24"/>
          <w:szCs w:val="24"/>
          <w:lang w:val="en-GB"/>
        </w:rPr>
        <w:t xml:space="preserve"> </w:t>
      </w:r>
      <w:proofErr w:type="gramStart"/>
      <w:r w:rsidR="001B1D6D" w:rsidRPr="00884821">
        <w:rPr>
          <w:sz w:val="24"/>
          <w:szCs w:val="24"/>
          <w:lang w:val="en-GB"/>
        </w:rPr>
        <w:t xml:space="preserve">302509547  </w:t>
      </w:r>
      <w:r w:rsidRPr="00884821">
        <w:rPr>
          <w:sz w:val="24"/>
          <w:szCs w:val="24"/>
          <w:lang w:val="en-GB"/>
        </w:rPr>
        <w:t>VAT</w:t>
      </w:r>
      <w:proofErr w:type="gramEnd"/>
      <w:r w:rsidRPr="00884821">
        <w:rPr>
          <w:sz w:val="24"/>
          <w:szCs w:val="24"/>
          <w:lang w:val="en-GB"/>
        </w:rPr>
        <w:t xml:space="preserve"> code</w:t>
      </w:r>
      <w:r w:rsidR="001B1D6D" w:rsidRPr="00884821">
        <w:rPr>
          <w:sz w:val="24"/>
          <w:szCs w:val="24"/>
          <w:lang w:val="en-GB"/>
        </w:rPr>
        <w:t xml:space="preserve"> LT100005399614</w:t>
      </w:r>
    </w:p>
    <w:p w14:paraId="7F2B039B" w14:textId="31DB03F1" w:rsidR="00025AB6" w:rsidRPr="00884821" w:rsidRDefault="000E38EF">
      <w:pPr>
        <w:spacing w:before="21"/>
        <w:ind w:left="3665" w:right="3670"/>
        <w:jc w:val="center"/>
        <w:rPr>
          <w:sz w:val="24"/>
          <w:szCs w:val="24"/>
          <w:lang w:val="en-GB"/>
        </w:rPr>
      </w:pPr>
      <w:proofErr w:type="spellStart"/>
      <w:r w:rsidRPr="00884821">
        <w:rPr>
          <w:sz w:val="24"/>
          <w:szCs w:val="24"/>
          <w:lang w:val="en-GB"/>
        </w:rPr>
        <w:t>Dobilų</w:t>
      </w:r>
      <w:proofErr w:type="spellEnd"/>
      <w:r w:rsidRPr="00884821">
        <w:rPr>
          <w:sz w:val="24"/>
          <w:szCs w:val="24"/>
          <w:lang w:val="en-GB"/>
        </w:rPr>
        <w:t xml:space="preserve"> g.8 </w:t>
      </w:r>
      <w:proofErr w:type="spellStart"/>
      <w:r w:rsidRPr="00884821">
        <w:rPr>
          <w:sz w:val="24"/>
          <w:szCs w:val="24"/>
          <w:lang w:val="en-GB"/>
        </w:rPr>
        <w:t>Neveronys</w:t>
      </w:r>
      <w:proofErr w:type="spellEnd"/>
      <w:r w:rsidRPr="00884821">
        <w:rPr>
          <w:sz w:val="24"/>
          <w:szCs w:val="24"/>
          <w:lang w:val="en-GB"/>
        </w:rPr>
        <w:t xml:space="preserve"> Kaunas district</w:t>
      </w:r>
    </w:p>
    <w:p w14:paraId="30364AD8" w14:textId="39DD8AD7" w:rsidR="00025AB6" w:rsidRPr="00884821" w:rsidRDefault="000E38EF">
      <w:pPr>
        <w:spacing w:before="21"/>
        <w:ind w:left="1948" w:right="1953"/>
        <w:jc w:val="center"/>
        <w:rPr>
          <w:sz w:val="24"/>
          <w:szCs w:val="24"/>
          <w:lang w:val="en-GB"/>
        </w:rPr>
      </w:pPr>
      <w:r w:rsidRPr="00884821">
        <w:rPr>
          <w:sz w:val="24"/>
          <w:szCs w:val="24"/>
          <w:lang w:val="en-GB"/>
        </w:rPr>
        <w:t>Office address</w:t>
      </w:r>
      <w:r w:rsidR="001B1D6D" w:rsidRPr="00884821">
        <w:rPr>
          <w:sz w:val="24"/>
          <w:szCs w:val="24"/>
          <w:lang w:val="en-GB"/>
        </w:rPr>
        <w:t xml:space="preserve">: </w:t>
      </w:r>
      <w:proofErr w:type="spellStart"/>
      <w:r w:rsidR="001B1D6D" w:rsidRPr="00884821">
        <w:rPr>
          <w:sz w:val="24"/>
          <w:szCs w:val="24"/>
          <w:lang w:val="en-GB"/>
        </w:rPr>
        <w:t>Karaliaus</w:t>
      </w:r>
      <w:proofErr w:type="spellEnd"/>
      <w:r w:rsidR="001B1D6D" w:rsidRPr="00884821">
        <w:rPr>
          <w:sz w:val="24"/>
          <w:szCs w:val="24"/>
          <w:lang w:val="en-GB"/>
        </w:rPr>
        <w:t xml:space="preserve"> </w:t>
      </w:r>
      <w:proofErr w:type="spellStart"/>
      <w:r w:rsidR="001B1D6D" w:rsidRPr="00884821">
        <w:rPr>
          <w:sz w:val="24"/>
          <w:szCs w:val="24"/>
          <w:lang w:val="en-GB"/>
        </w:rPr>
        <w:t>Mindaugo</w:t>
      </w:r>
      <w:proofErr w:type="spellEnd"/>
      <w:r w:rsidR="001B1D6D" w:rsidRPr="00884821">
        <w:rPr>
          <w:sz w:val="24"/>
          <w:szCs w:val="24"/>
          <w:lang w:val="en-GB"/>
        </w:rPr>
        <w:t xml:space="preserve"> pr.68-11, Kaunas, </w:t>
      </w:r>
      <w:proofErr w:type="spellStart"/>
      <w:r w:rsidR="001B1D6D" w:rsidRPr="00884821">
        <w:rPr>
          <w:sz w:val="24"/>
          <w:szCs w:val="24"/>
          <w:lang w:val="en-GB"/>
        </w:rPr>
        <w:t>Lietuva</w:t>
      </w:r>
      <w:proofErr w:type="spellEnd"/>
      <w:r w:rsidR="001B1D6D" w:rsidRPr="00884821">
        <w:rPr>
          <w:sz w:val="24"/>
          <w:szCs w:val="24"/>
          <w:lang w:val="en-GB"/>
        </w:rPr>
        <w:t xml:space="preserve"> LT-44351</w:t>
      </w:r>
    </w:p>
    <w:p w14:paraId="2DE20BEC" w14:textId="3A330E64" w:rsidR="00025AB6" w:rsidRPr="00884821" w:rsidRDefault="000E38EF">
      <w:pPr>
        <w:spacing w:before="21" w:line="258" w:lineRule="auto"/>
        <w:ind w:left="3344" w:right="3344"/>
        <w:jc w:val="center"/>
        <w:rPr>
          <w:sz w:val="24"/>
          <w:szCs w:val="24"/>
          <w:lang w:val="en-GB"/>
        </w:rPr>
      </w:pPr>
      <w:r w:rsidRPr="00884821">
        <w:rPr>
          <w:sz w:val="24"/>
          <w:szCs w:val="24"/>
          <w:lang w:val="en-GB"/>
        </w:rPr>
        <w:t>Tel.:</w:t>
      </w:r>
      <w:r w:rsidR="001B1D6D" w:rsidRPr="00884821">
        <w:rPr>
          <w:sz w:val="24"/>
          <w:szCs w:val="24"/>
          <w:lang w:val="en-GB"/>
        </w:rPr>
        <w:t xml:space="preserve"> +370 37 206980; +370 61654450 </w:t>
      </w:r>
      <w:proofErr w:type="spellStart"/>
      <w:r w:rsidR="001B1D6D" w:rsidRPr="00884821">
        <w:rPr>
          <w:sz w:val="24"/>
          <w:szCs w:val="24"/>
          <w:lang w:val="en-GB"/>
        </w:rPr>
        <w:t>raimda.audit@raudit.lt</w:t>
      </w:r>
      <w:proofErr w:type="spellEnd"/>
      <w:r w:rsidR="001B1D6D" w:rsidRPr="00884821">
        <w:rPr>
          <w:sz w:val="24"/>
          <w:szCs w:val="24"/>
          <w:lang w:val="en-GB"/>
        </w:rPr>
        <w:t xml:space="preserve"> </w:t>
      </w:r>
      <w:hyperlink r:id="rId8">
        <w:r w:rsidR="001B1D6D" w:rsidRPr="00884821">
          <w:rPr>
            <w:color w:val="0000FF"/>
            <w:sz w:val="24"/>
            <w:szCs w:val="24"/>
            <w:u w:val="single" w:color="0000FF"/>
            <w:lang w:val="en-GB"/>
          </w:rPr>
          <w:t>www.raudit.lt</w:t>
        </w:r>
      </w:hyperlink>
    </w:p>
    <w:p w14:paraId="53F03333" w14:textId="77777777" w:rsidR="00025AB6" w:rsidRPr="00884821" w:rsidRDefault="00025AB6">
      <w:pPr>
        <w:spacing w:before="12" w:line="260" w:lineRule="exact"/>
        <w:rPr>
          <w:sz w:val="26"/>
          <w:szCs w:val="26"/>
          <w:lang w:val="en-GB"/>
        </w:rPr>
      </w:pPr>
    </w:p>
    <w:p w14:paraId="40E91CE5" w14:textId="6D4F8C98" w:rsidR="00025AB6" w:rsidRPr="00884821" w:rsidRDefault="00B72E19">
      <w:pPr>
        <w:spacing w:before="29"/>
        <w:ind w:left="827"/>
        <w:rPr>
          <w:sz w:val="24"/>
          <w:szCs w:val="24"/>
          <w:lang w:val="en-GB"/>
        </w:rPr>
      </w:pPr>
      <w:r w:rsidRPr="00884821">
        <w:rPr>
          <w:b/>
          <w:i/>
          <w:sz w:val="24"/>
          <w:szCs w:val="24"/>
          <w:lang w:val="en-GB"/>
        </w:rPr>
        <w:t>To the Ministry of Finance of the Republic of Lithuania</w:t>
      </w:r>
    </w:p>
    <w:p w14:paraId="4A065036" w14:textId="1FD192F0" w:rsidR="00025AB6" w:rsidRPr="00884821" w:rsidRDefault="003320D9">
      <w:pPr>
        <w:spacing w:before="41" w:line="275" w:lineRule="auto"/>
        <w:ind w:left="827" w:right="5206"/>
        <w:rPr>
          <w:sz w:val="24"/>
          <w:szCs w:val="24"/>
          <w:lang w:val="en-GB"/>
        </w:rPr>
      </w:pPr>
      <w:r w:rsidRPr="00884821">
        <w:rPr>
          <w:sz w:val="24"/>
          <w:szCs w:val="24"/>
          <w:lang w:val="en-GB"/>
        </w:rPr>
        <w:t>Regarding the performance of an inventory of intangible assets and information technology audit</w:t>
      </w:r>
    </w:p>
    <w:p w14:paraId="6F400B58" w14:textId="77777777" w:rsidR="00025AB6" w:rsidRPr="00884821" w:rsidRDefault="00025AB6">
      <w:pPr>
        <w:spacing w:before="9" w:line="100" w:lineRule="exact"/>
        <w:rPr>
          <w:sz w:val="11"/>
          <w:szCs w:val="11"/>
          <w:lang w:val="en-GB"/>
        </w:rPr>
      </w:pPr>
    </w:p>
    <w:p w14:paraId="0700261C" w14:textId="77777777" w:rsidR="00025AB6" w:rsidRPr="00884821" w:rsidRDefault="00025AB6">
      <w:pPr>
        <w:spacing w:line="200" w:lineRule="exact"/>
        <w:rPr>
          <w:lang w:val="en-GB"/>
        </w:rPr>
      </w:pPr>
    </w:p>
    <w:p w14:paraId="2BC2AC75" w14:textId="009F8262" w:rsidR="00025AB6" w:rsidRPr="00884821" w:rsidRDefault="00B72E19">
      <w:pPr>
        <w:ind w:left="4481" w:right="4483"/>
        <w:jc w:val="center"/>
        <w:rPr>
          <w:sz w:val="24"/>
          <w:szCs w:val="24"/>
          <w:lang w:val="en-GB"/>
        </w:rPr>
      </w:pPr>
      <w:r w:rsidRPr="00884821">
        <w:rPr>
          <w:sz w:val="24"/>
          <w:szCs w:val="24"/>
          <w:lang w:val="en-GB"/>
        </w:rPr>
        <w:t>REQUEST_1</w:t>
      </w:r>
    </w:p>
    <w:p w14:paraId="665EC564" w14:textId="32A59723" w:rsidR="00025AB6" w:rsidRPr="00884821" w:rsidRDefault="00B72E19">
      <w:pPr>
        <w:spacing w:before="24"/>
        <w:ind w:left="4375" w:right="4377"/>
        <w:jc w:val="center"/>
        <w:rPr>
          <w:sz w:val="24"/>
          <w:szCs w:val="24"/>
          <w:lang w:val="en-GB"/>
        </w:rPr>
      </w:pPr>
      <w:r w:rsidRPr="00884821">
        <w:rPr>
          <w:sz w:val="24"/>
          <w:szCs w:val="24"/>
          <w:lang w:val="en-GB"/>
        </w:rPr>
        <w:t xml:space="preserve">6 May </w:t>
      </w:r>
      <w:r w:rsidR="001B1D6D" w:rsidRPr="00884821">
        <w:rPr>
          <w:sz w:val="24"/>
          <w:szCs w:val="24"/>
          <w:lang w:val="en-GB"/>
        </w:rPr>
        <w:t>2020</w:t>
      </w:r>
    </w:p>
    <w:p w14:paraId="5CC772B4" w14:textId="77777777" w:rsidR="00025AB6" w:rsidRPr="00884821" w:rsidRDefault="00025AB6">
      <w:pPr>
        <w:spacing w:before="9" w:line="100" w:lineRule="exact"/>
        <w:rPr>
          <w:sz w:val="11"/>
          <w:szCs w:val="11"/>
          <w:lang w:val="en-GB"/>
        </w:rPr>
      </w:pPr>
    </w:p>
    <w:p w14:paraId="6A885A60" w14:textId="77777777" w:rsidR="00025AB6" w:rsidRPr="00884821" w:rsidRDefault="00025AB6">
      <w:pPr>
        <w:spacing w:line="200" w:lineRule="exact"/>
        <w:rPr>
          <w:lang w:val="en-GB"/>
        </w:rPr>
      </w:pPr>
    </w:p>
    <w:p w14:paraId="0BFFFFCD" w14:textId="2621B8D9" w:rsidR="00025AB6" w:rsidRPr="00884821" w:rsidRDefault="00E85044">
      <w:pPr>
        <w:spacing w:line="275" w:lineRule="auto"/>
        <w:ind w:left="750" w:right="64" w:firstLine="653"/>
        <w:jc w:val="both"/>
        <w:rPr>
          <w:sz w:val="24"/>
          <w:szCs w:val="24"/>
          <w:lang w:val="en-GB"/>
        </w:rPr>
      </w:pPr>
      <w:proofErr w:type="gramStart"/>
      <w:r w:rsidRPr="00884821">
        <w:rPr>
          <w:sz w:val="24"/>
          <w:szCs w:val="24"/>
          <w:lang w:val="en-GB"/>
        </w:rPr>
        <w:t>Paragraph</w:t>
      </w:r>
      <w:r w:rsidR="003320D9" w:rsidRPr="00884821">
        <w:rPr>
          <w:sz w:val="24"/>
          <w:szCs w:val="24"/>
          <w:lang w:val="en-GB"/>
        </w:rPr>
        <w:t xml:space="preserve"> 7 (seven) of the Regulations of Article II </w:t>
      </w:r>
      <w:r w:rsidR="00B72E19" w:rsidRPr="00884821">
        <w:rPr>
          <w:i/>
          <w:sz w:val="24"/>
          <w:szCs w:val="24"/>
          <w:lang w:val="en-GB"/>
        </w:rPr>
        <w:t>Object and Periodicity of Inventory</w:t>
      </w:r>
      <w:r w:rsidR="00B72E19" w:rsidRPr="00884821">
        <w:rPr>
          <w:sz w:val="24"/>
          <w:szCs w:val="24"/>
          <w:lang w:val="en-GB"/>
        </w:rPr>
        <w:t xml:space="preserve"> </w:t>
      </w:r>
      <w:r w:rsidR="003320D9" w:rsidRPr="00884821">
        <w:rPr>
          <w:sz w:val="24"/>
          <w:szCs w:val="24"/>
          <w:lang w:val="en-GB"/>
        </w:rPr>
        <w:t xml:space="preserve">of the Resolution No. 719 of the Government of the Republic of Lithuania </w:t>
      </w:r>
      <w:r w:rsidR="00B72E19" w:rsidRPr="00884821">
        <w:rPr>
          <w:i/>
          <w:sz w:val="24"/>
          <w:szCs w:val="24"/>
          <w:lang w:val="en-GB"/>
        </w:rPr>
        <w:t>O</w:t>
      </w:r>
      <w:r w:rsidR="003320D9" w:rsidRPr="00884821">
        <w:rPr>
          <w:i/>
          <w:sz w:val="24"/>
          <w:szCs w:val="24"/>
          <w:lang w:val="en-GB"/>
        </w:rPr>
        <w:t>n the Approval of the Inventory Rules</w:t>
      </w:r>
      <w:r w:rsidR="003320D9" w:rsidRPr="00884821">
        <w:rPr>
          <w:sz w:val="24"/>
          <w:szCs w:val="24"/>
          <w:lang w:val="en-GB"/>
        </w:rPr>
        <w:t xml:space="preserve"> (hereinafter - the Rules) of 3 June 1999 (current wording as of 1 June 2018) </w:t>
      </w:r>
      <w:r w:rsidR="00B656E3" w:rsidRPr="00884821">
        <w:rPr>
          <w:sz w:val="24"/>
          <w:szCs w:val="24"/>
          <w:lang w:val="en-GB"/>
        </w:rPr>
        <w:t xml:space="preserve">states that </w:t>
      </w:r>
      <w:r w:rsidR="007F51F0" w:rsidRPr="00884821">
        <w:rPr>
          <w:sz w:val="24"/>
          <w:szCs w:val="24"/>
          <w:lang w:val="en-GB"/>
        </w:rPr>
        <w:t>“</w:t>
      </w:r>
      <w:r w:rsidR="006E6D74" w:rsidRPr="00884821">
        <w:rPr>
          <w:sz w:val="24"/>
          <w:szCs w:val="24"/>
          <w:lang w:val="en-GB"/>
        </w:rPr>
        <w:t xml:space="preserve">Entities, </w:t>
      </w:r>
      <w:r w:rsidR="006E6D74" w:rsidRPr="00884821">
        <w:rPr>
          <w:sz w:val="24"/>
          <w:szCs w:val="24"/>
          <w:u w:val="single"/>
          <w:lang w:val="en-GB"/>
        </w:rPr>
        <w:t>other than public sector entities</w:t>
      </w:r>
      <w:r w:rsidR="006E6D74" w:rsidRPr="00884821">
        <w:rPr>
          <w:sz w:val="24"/>
          <w:szCs w:val="24"/>
          <w:lang w:val="en-GB"/>
        </w:rPr>
        <w:t xml:space="preserve">, </w:t>
      </w:r>
      <w:r w:rsidR="006E6D74" w:rsidRPr="00884821">
        <w:rPr>
          <w:b/>
          <w:sz w:val="24"/>
          <w:szCs w:val="24"/>
          <w:lang w:val="en-GB"/>
        </w:rPr>
        <w:t>must make an inventory of all assets</w:t>
      </w:r>
      <w:r w:rsidR="006E6D74" w:rsidRPr="00884821">
        <w:rPr>
          <w:sz w:val="24"/>
          <w:szCs w:val="24"/>
          <w:lang w:val="en-GB"/>
        </w:rPr>
        <w:t xml:space="preserve"> and liabilities at least once a year before the annual financial statements are drawn up on the basis of data no later than the last day of the financial year, and entities with seasonal activities must take stock of inventories for the period during which they have the lowest stock balances, but not earlier than 6 months before th</w:t>
      </w:r>
      <w:r w:rsidR="007F51F0" w:rsidRPr="00884821">
        <w:rPr>
          <w:sz w:val="24"/>
          <w:szCs w:val="24"/>
          <w:lang w:val="en-GB"/>
        </w:rPr>
        <w:t>e end of the financial year”.</w:t>
      </w:r>
      <w:proofErr w:type="gramEnd"/>
    </w:p>
    <w:p w14:paraId="770516AA" w14:textId="59388505" w:rsidR="00025AB6" w:rsidRPr="00884821" w:rsidRDefault="00650407">
      <w:pPr>
        <w:spacing w:before="4" w:line="275" w:lineRule="auto"/>
        <w:ind w:left="750" w:right="67" w:firstLine="653"/>
        <w:jc w:val="both"/>
        <w:rPr>
          <w:sz w:val="24"/>
          <w:szCs w:val="24"/>
          <w:lang w:val="en-GB"/>
        </w:rPr>
      </w:pPr>
      <w:r w:rsidRPr="00884821">
        <w:rPr>
          <w:sz w:val="24"/>
          <w:szCs w:val="24"/>
          <w:lang w:val="en-GB"/>
        </w:rPr>
        <w:t>Paragraph</w:t>
      </w:r>
      <w:r w:rsidR="006E6D74" w:rsidRPr="00884821">
        <w:rPr>
          <w:sz w:val="24"/>
          <w:szCs w:val="24"/>
          <w:lang w:val="en-GB"/>
        </w:rPr>
        <w:t xml:space="preserve"> </w:t>
      </w:r>
      <w:proofErr w:type="gramStart"/>
      <w:r w:rsidR="006E6D74" w:rsidRPr="00884821">
        <w:rPr>
          <w:sz w:val="24"/>
          <w:szCs w:val="24"/>
          <w:lang w:val="en-GB"/>
        </w:rPr>
        <w:t>8</w:t>
      </w:r>
      <w:proofErr w:type="gramEnd"/>
      <w:r w:rsidR="006E6D74" w:rsidRPr="00884821">
        <w:rPr>
          <w:sz w:val="24"/>
          <w:szCs w:val="24"/>
          <w:lang w:val="en-GB"/>
        </w:rPr>
        <w:t xml:space="preserve"> (eight</w:t>
      </w:r>
      <w:r w:rsidR="00B656E3" w:rsidRPr="00884821">
        <w:rPr>
          <w:sz w:val="24"/>
          <w:szCs w:val="24"/>
          <w:lang w:val="en-GB"/>
        </w:rPr>
        <w:t>) of the Rules states: “</w:t>
      </w:r>
      <w:r w:rsidR="006E6D74" w:rsidRPr="00884821">
        <w:rPr>
          <w:sz w:val="24"/>
          <w:szCs w:val="24"/>
          <w:lang w:val="en-GB"/>
        </w:rPr>
        <w:t>Public sector entities must make an inventory of all available assets and liabilities:</w:t>
      </w:r>
    </w:p>
    <w:p w14:paraId="49784B7B" w14:textId="046B0D47" w:rsidR="00025AB6" w:rsidRPr="00884821" w:rsidRDefault="001B1D6D" w:rsidP="00B656E3">
      <w:pPr>
        <w:spacing w:before="1"/>
        <w:ind w:left="1403"/>
        <w:rPr>
          <w:sz w:val="15"/>
          <w:szCs w:val="15"/>
          <w:lang w:val="en-GB"/>
        </w:rPr>
      </w:pPr>
      <w:r w:rsidRPr="00884821">
        <w:rPr>
          <w:sz w:val="24"/>
          <w:szCs w:val="24"/>
          <w:lang w:val="en-GB"/>
        </w:rPr>
        <w:t xml:space="preserve">8.1. </w:t>
      </w:r>
      <w:r w:rsidR="00AB665E" w:rsidRPr="00884821">
        <w:rPr>
          <w:sz w:val="24"/>
          <w:szCs w:val="24"/>
          <w:lang w:val="en-GB"/>
        </w:rPr>
        <w:t>non-current assets</w:t>
      </w:r>
      <w:r w:rsidR="006E6D74" w:rsidRPr="00884821">
        <w:rPr>
          <w:sz w:val="24"/>
          <w:szCs w:val="24"/>
          <w:lang w:val="en-GB"/>
        </w:rPr>
        <w:t xml:space="preserve">, </w:t>
      </w:r>
      <w:r w:rsidR="006E6D74" w:rsidRPr="00884821">
        <w:rPr>
          <w:b/>
          <w:sz w:val="24"/>
          <w:szCs w:val="24"/>
          <w:lang w:val="en-GB"/>
        </w:rPr>
        <w:t>except</w:t>
      </w:r>
      <w:r w:rsidR="006E6D74" w:rsidRPr="00884821">
        <w:rPr>
          <w:sz w:val="24"/>
          <w:szCs w:val="24"/>
          <w:lang w:val="en-GB"/>
        </w:rPr>
        <w:t xml:space="preserve"> </w:t>
      </w:r>
      <w:r w:rsidR="006E6D74" w:rsidRPr="00884821">
        <w:rPr>
          <w:sz w:val="24"/>
          <w:szCs w:val="24"/>
          <w:u w:val="single"/>
          <w:lang w:val="en-GB"/>
        </w:rPr>
        <w:t>for construction in progress, and intangible assets, biological assets, manufactured products, raw materials, materials, construction in progress and other inventories</w:t>
      </w:r>
      <w:r w:rsidR="006E6D74" w:rsidRPr="00884821">
        <w:rPr>
          <w:sz w:val="24"/>
          <w:szCs w:val="24"/>
          <w:lang w:val="en-GB"/>
        </w:rPr>
        <w:t>, other than those specified in Sub-paragraph 8.2 of the Rules, at least once a year and not earlier than 30 September of the reporting year.</w:t>
      </w:r>
      <w:r w:rsidR="00B656E3" w:rsidRPr="00884821">
        <w:rPr>
          <w:sz w:val="24"/>
          <w:szCs w:val="24"/>
          <w:lang w:val="en-GB"/>
        </w:rPr>
        <w:t>”</w:t>
      </w:r>
    </w:p>
    <w:p w14:paraId="26F4831B" w14:textId="77777777" w:rsidR="00025AB6" w:rsidRPr="00884821" w:rsidRDefault="00025AB6">
      <w:pPr>
        <w:spacing w:line="200" w:lineRule="exact"/>
        <w:rPr>
          <w:lang w:val="en-GB"/>
        </w:rPr>
      </w:pPr>
    </w:p>
    <w:p w14:paraId="44A07B89" w14:textId="1D041C92" w:rsidR="00025AB6" w:rsidRPr="00E85044" w:rsidRDefault="006E6D74" w:rsidP="00E85044">
      <w:pPr>
        <w:pStyle w:val="ListParagraph"/>
        <w:numPr>
          <w:ilvl w:val="0"/>
          <w:numId w:val="2"/>
        </w:numPr>
        <w:ind w:right="63"/>
        <w:jc w:val="both"/>
        <w:rPr>
          <w:sz w:val="24"/>
          <w:szCs w:val="24"/>
          <w:lang w:val="en-GB"/>
        </w:rPr>
      </w:pPr>
      <w:r w:rsidRPr="00E85044">
        <w:rPr>
          <w:b/>
          <w:sz w:val="24"/>
          <w:szCs w:val="24"/>
          <w:lang w:val="en-GB"/>
        </w:rPr>
        <w:t>Question</w:t>
      </w:r>
      <w:r w:rsidRPr="00E85044">
        <w:rPr>
          <w:sz w:val="24"/>
          <w:szCs w:val="24"/>
          <w:lang w:val="en-GB"/>
        </w:rPr>
        <w:t xml:space="preserve">: How to </w:t>
      </w:r>
      <w:r w:rsidR="00B656E3" w:rsidRPr="00E85044">
        <w:rPr>
          <w:sz w:val="24"/>
          <w:szCs w:val="24"/>
          <w:lang w:val="en-GB"/>
        </w:rPr>
        <w:t>understand the part “</w:t>
      </w:r>
      <w:r w:rsidRPr="00E85044">
        <w:rPr>
          <w:b/>
          <w:sz w:val="24"/>
          <w:szCs w:val="24"/>
          <w:u w:val="single"/>
          <w:lang w:val="en-GB"/>
        </w:rPr>
        <w:t>except</w:t>
      </w:r>
      <w:r w:rsidRPr="00E85044">
        <w:rPr>
          <w:sz w:val="24"/>
          <w:szCs w:val="24"/>
          <w:lang w:val="en-GB"/>
        </w:rPr>
        <w:t xml:space="preserve">” of Sub-paragraph 8.1 of the Rules (the part applicable to </w:t>
      </w:r>
      <w:r w:rsidRPr="00E85044">
        <w:rPr>
          <w:i/>
          <w:sz w:val="24"/>
          <w:szCs w:val="24"/>
          <w:lang w:val="en-GB"/>
        </w:rPr>
        <w:t>public sector entities</w:t>
      </w:r>
      <w:r w:rsidRPr="00E85044">
        <w:rPr>
          <w:sz w:val="24"/>
          <w:szCs w:val="24"/>
          <w:lang w:val="en-GB"/>
        </w:rPr>
        <w:t xml:space="preserve"> only)</w:t>
      </w:r>
      <w:r w:rsidR="00B656E3" w:rsidRPr="00E85044">
        <w:rPr>
          <w:sz w:val="24"/>
          <w:szCs w:val="24"/>
          <w:lang w:val="en-GB"/>
        </w:rPr>
        <w:t xml:space="preserve"> correctly</w:t>
      </w:r>
      <w:r w:rsidRPr="00E85044">
        <w:rPr>
          <w:sz w:val="24"/>
          <w:szCs w:val="24"/>
          <w:lang w:val="en-GB"/>
        </w:rPr>
        <w:t>:</w:t>
      </w:r>
    </w:p>
    <w:p w14:paraId="5BB01541" w14:textId="66626213" w:rsidR="00025AB6" w:rsidRPr="00E85044" w:rsidRDefault="00B656E3" w:rsidP="00E85044">
      <w:pPr>
        <w:pStyle w:val="ListParagraph"/>
        <w:numPr>
          <w:ilvl w:val="1"/>
          <w:numId w:val="2"/>
        </w:numPr>
        <w:spacing w:before="43"/>
        <w:rPr>
          <w:sz w:val="24"/>
          <w:szCs w:val="24"/>
          <w:lang w:val="en-GB"/>
        </w:rPr>
      </w:pPr>
      <w:proofErr w:type="gramStart"/>
      <w:r w:rsidRPr="00E85044">
        <w:rPr>
          <w:sz w:val="24"/>
          <w:szCs w:val="24"/>
          <w:lang w:val="en-GB"/>
        </w:rPr>
        <w:t>Does the term “except”</w:t>
      </w:r>
      <w:r w:rsidR="006E6D74" w:rsidRPr="00E85044">
        <w:rPr>
          <w:sz w:val="24"/>
          <w:szCs w:val="24"/>
          <w:lang w:val="en-GB"/>
        </w:rPr>
        <w:t xml:space="preserve"> include ONLY </w:t>
      </w:r>
      <w:r w:rsidR="006E6D74" w:rsidRPr="00E85044">
        <w:rPr>
          <w:b/>
          <w:sz w:val="24"/>
          <w:szCs w:val="24"/>
          <w:lang w:val="en-GB"/>
        </w:rPr>
        <w:t>construction</w:t>
      </w:r>
      <w:r w:rsidR="006C0CAB" w:rsidRPr="00E85044">
        <w:rPr>
          <w:b/>
          <w:sz w:val="24"/>
          <w:szCs w:val="24"/>
          <w:lang w:val="en-GB"/>
        </w:rPr>
        <w:t xml:space="preserve"> in progress</w:t>
      </w:r>
      <w:r w:rsidR="00E85044">
        <w:rPr>
          <w:sz w:val="24"/>
          <w:szCs w:val="24"/>
          <w:lang w:val="en-GB"/>
        </w:rPr>
        <w:t>?</w:t>
      </w:r>
      <w:proofErr w:type="gramEnd"/>
    </w:p>
    <w:p w14:paraId="36DFD25F" w14:textId="1514E134" w:rsidR="00E85044" w:rsidRPr="00E85044" w:rsidRDefault="00B656E3" w:rsidP="00E85044">
      <w:pPr>
        <w:pStyle w:val="ListParagraph"/>
        <w:numPr>
          <w:ilvl w:val="1"/>
          <w:numId w:val="2"/>
        </w:numPr>
        <w:spacing w:before="41"/>
        <w:rPr>
          <w:sz w:val="24"/>
          <w:szCs w:val="24"/>
          <w:lang w:val="en-GB"/>
        </w:rPr>
      </w:pPr>
      <w:proofErr w:type="gramStart"/>
      <w:r w:rsidRPr="00E85044">
        <w:rPr>
          <w:sz w:val="24"/>
          <w:szCs w:val="24"/>
          <w:lang w:val="en-GB"/>
        </w:rPr>
        <w:t>Does the term “except” include “</w:t>
      </w:r>
      <w:r w:rsidR="006C0CAB" w:rsidRPr="00E85044">
        <w:rPr>
          <w:sz w:val="24"/>
          <w:szCs w:val="24"/>
          <w:lang w:val="en-GB"/>
        </w:rPr>
        <w:t>construction in progress</w:t>
      </w:r>
      <w:r w:rsidRPr="00E85044">
        <w:rPr>
          <w:sz w:val="24"/>
          <w:szCs w:val="24"/>
          <w:lang w:val="en-GB"/>
        </w:rPr>
        <w:t>” and “intangible assets”</w:t>
      </w:r>
      <w:r w:rsidR="00E85044">
        <w:rPr>
          <w:sz w:val="24"/>
          <w:szCs w:val="24"/>
          <w:lang w:val="en-GB"/>
        </w:rPr>
        <w:t>?</w:t>
      </w:r>
      <w:bookmarkStart w:id="0" w:name="_GoBack"/>
      <w:bookmarkEnd w:id="0"/>
      <w:proofErr w:type="gramEnd"/>
    </w:p>
    <w:p w14:paraId="74C66894" w14:textId="500A515A" w:rsidR="00025AB6" w:rsidRPr="00E85044" w:rsidRDefault="00B656E3" w:rsidP="00E85044">
      <w:pPr>
        <w:pStyle w:val="ListParagraph"/>
        <w:numPr>
          <w:ilvl w:val="1"/>
          <w:numId w:val="2"/>
        </w:numPr>
        <w:spacing w:before="41"/>
        <w:rPr>
          <w:sz w:val="24"/>
          <w:szCs w:val="24"/>
          <w:lang w:val="en-GB"/>
        </w:rPr>
      </w:pPr>
      <w:proofErr w:type="gramStart"/>
      <w:r w:rsidRPr="00E85044">
        <w:rPr>
          <w:sz w:val="24"/>
          <w:szCs w:val="24"/>
          <w:lang w:val="en-GB"/>
        </w:rPr>
        <w:t>Does the term “except”</w:t>
      </w:r>
      <w:r w:rsidR="006C0CAB" w:rsidRPr="00E85044">
        <w:rPr>
          <w:sz w:val="24"/>
          <w:szCs w:val="24"/>
          <w:lang w:val="en-GB"/>
        </w:rPr>
        <w:t xml:space="preserve"> includ</w:t>
      </w:r>
      <w:r w:rsidRPr="00E85044">
        <w:rPr>
          <w:sz w:val="24"/>
          <w:szCs w:val="24"/>
          <w:lang w:val="en-GB"/>
        </w:rPr>
        <w:t>e “</w:t>
      </w:r>
      <w:r w:rsidR="006C0CAB" w:rsidRPr="00E85044">
        <w:rPr>
          <w:sz w:val="24"/>
          <w:szCs w:val="24"/>
          <w:lang w:val="en-GB"/>
        </w:rPr>
        <w:t>construction in progress, and intangible assets, biological assets, manufactured products, raw materials, materials, construction in progress and other inventories</w:t>
      </w:r>
      <w:r w:rsidRPr="00E85044">
        <w:rPr>
          <w:sz w:val="24"/>
          <w:szCs w:val="24"/>
          <w:lang w:val="en-GB"/>
        </w:rPr>
        <w:t>”</w:t>
      </w:r>
      <w:r w:rsidR="006C0CAB" w:rsidRPr="00E85044">
        <w:rPr>
          <w:sz w:val="24"/>
          <w:szCs w:val="24"/>
          <w:lang w:val="en-GB"/>
        </w:rPr>
        <w:t>?</w:t>
      </w:r>
      <w:proofErr w:type="gramEnd"/>
    </w:p>
    <w:p w14:paraId="7AA6DB37" w14:textId="77777777" w:rsidR="00025AB6" w:rsidRPr="00884821" w:rsidRDefault="00025AB6">
      <w:pPr>
        <w:spacing w:before="1" w:line="100" w:lineRule="exact"/>
        <w:rPr>
          <w:sz w:val="10"/>
          <w:szCs w:val="10"/>
          <w:lang w:val="en-GB"/>
        </w:rPr>
      </w:pPr>
    </w:p>
    <w:p w14:paraId="6E34CB15" w14:textId="77777777" w:rsidR="00025AB6" w:rsidRPr="00884821" w:rsidRDefault="00025AB6">
      <w:pPr>
        <w:spacing w:line="200" w:lineRule="exact"/>
        <w:rPr>
          <w:lang w:val="en-GB"/>
        </w:rPr>
      </w:pPr>
    </w:p>
    <w:p w14:paraId="7A5FD970" w14:textId="3E5ACC8E" w:rsidR="00025AB6" w:rsidRPr="00884821" w:rsidRDefault="00135090">
      <w:pPr>
        <w:spacing w:line="258" w:lineRule="auto"/>
        <w:ind w:left="106" w:right="71"/>
        <w:jc w:val="both"/>
        <w:rPr>
          <w:sz w:val="24"/>
          <w:szCs w:val="24"/>
          <w:lang w:val="en-GB"/>
        </w:rPr>
      </w:pPr>
      <w:r w:rsidRPr="00884821">
        <w:rPr>
          <w:sz w:val="24"/>
          <w:szCs w:val="24"/>
          <w:lang w:val="en-GB"/>
        </w:rPr>
        <w:t xml:space="preserve">Paragraph 39 of Article VI of </w:t>
      </w:r>
      <w:r w:rsidR="007F51F0" w:rsidRPr="00884821">
        <w:rPr>
          <w:sz w:val="24"/>
          <w:szCs w:val="24"/>
          <w:lang w:val="en-GB"/>
        </w:rPr>
        <w:t>the Rules states that “</w:t>
      </w:r>
      <w:r w:rsidR="00CE207C" w:rsidRPr="00884821">
        <w:rPr>
          <w:sz w:val="24"/>
          <w:szCs w:val="24"/>
          <w:lang w:val="en-GB"/>
        </w:rPr>
        <w:t>The balances</w:t>
      </w:r>
      <w:r w:rsidRPr="00884821">
        <w:rPr>
          <w:sz w:val="24"/>
          <w:szCs w:val="24"/>
          <w:lang w:val="en-GB"/>
        </w:rPr>
        <w:t xml:space="preserve"> of intangible ... assets </w:t>
      </w:r>
      <w:r w:rsidR="00CE207C" w:rsidRPr="00884821">
        <w:rPr>
          <w:sz w:val="24"/>
          <w:szCs w:val="24"/>
          <w:lang w:val="en-GB"/>
        </w:rPr>
        <w:t>are inventoried</w:t>
      </w:r>
      <w:r w:rsidRPr="00884821">
        <w:rPr>
          <w:sz w:val="24"/>
          <w:szCs w:val="24"/>
          <w:lang w:val="en-GB"/>
        </w:rPr>
        <w:t xml:space="preserve"> according to the relevant </w:t>
      </w:r>
      <w:r w:rsidR="00AB665E" w:rsidRPr="00884821">
        <w:rPr>
          <w:sz w:val="24"/>
          <w:szCs w:val="24"/>
          <w:lang w:val="en-GB"/>
        </w:rPr>
        <w:t xml:space="preserve">bookkeeping </w:t>
      </w:r>
      <w:r w:rsidR="007F51F0" w:rsidRPr="00884821">
        <w:rPr>
          <w:sz w:val="24"/>
          <w:szCs w:val="24"/>
          <w:lang w:val="en-GB"/>
        </w:rPr>
        <w:t>accounts”</w:t>
      </w:r>
      <w:r w:rsidRPr="00884821">
        <w:rPr>
          <w:sz w:val="24"/>
          <w:szCs w:val="24"/>
          <w:lang w:val="en-GB"/>
        </w:rPr>
        <w:t>.</w:t>
      </w:r>
    </w:p>
    <w:p w14:paraId="4A25A4C8" w14:textId="7237164D" w:rsidR="00025AB6" w:rsidRPr="00884821" w:rsidRDefault="00135090">
      <w:pPr>
        <w:spacing w:before="1" w:line="258" w:lineRule="auto"/>
        <w:ind w:left="106" w:right="63"/>
        <w:jc w:val="both"/>
        <w:rPr>
          <w:sz w:val="24"/>
          <w:szCs w:val="24"/>
          <w:lang w:val="en-GB"/>
        </w:rPr>
        <w:sectPr w:rsidR="00025AB6" w:rsidRPr="00884821">
          <w:headerReference w:type="default" r:id="rId9"/>
          <w:footerReference w:type="default" r:id="rId10"/>
          <w:pgSz w:w="11920" w:h="16840"/>
          <w:pgMar w:top="1080" w:right="460" w:bottom="280" w:left="460" w:header="794" w:footer="1566" w:gutter="0"/>
          <w:cols w:space="720"/>
        </w:sectPr>
      </w:pPr>
      <w:r w:rsidRPr="00884821">
        <w:rPr>
          <w:sz w:val="24"/>
          <w:szCs w:val="24"/>
          <w:lang w:val="en-GB"/>
        </w:rPr>
        <w:t xml:space="preserve">Paragraph 40 of the Rules states that </w:t>
      </w:r>
      <w:r w:rsidR="007F51F0" w:rsidRPr="00884821">
        <w:rPr>
          <w:sz w:val="24"/>
          <w:szCs w:val="24"/>
          <w:lang w:val="en-GB"/>
        </w:rPr>
        <w:t>“</w:t>
      </w:r>
      <w:r w:rsidR="00884821" w:rsidRPr="00884821">
        <w:rPr>
          <w:rFonts w:eastAsia="Calibri"/>
          <w:sz w:val="24"/>
          <w:szCs w:val="24"/>
          <w:lang w:val="en-GB"/>
        </w:rPr>
        <w:t xml:space="preserve">During the inventory of software, the actual documents of its acquisition and the available license agreements are inspected, the </w:t>
      </w:r>
      <w:r w:rsidR="00884821" w:rsidRPr="00884821">
        <w:rPr>
          <w:rFonts w:eastAsia="Calibri"/>
          <w:b/>
          <w:sz w:val="24"/>
          <w:szCs w:val="24"/>
          <w:highlight w:val="darkGray"/>
          <w:lang w:val="en-GB"/>
        </w:rPr>
        <w:t>actual quantity of software used</w:t>
      </w:r>
      <w:r w:rsidR="00884821" w:rsidRPr="00884821">
        <w:rPr>
          <w:rFonts w:eastAsia="Calibri"/>
          <w:b/>
          <w:sz w:val="24"/>
          <w:szCs w:val="24"/>
          <w:lang w:val="en-GB"/>
        </w:rPr>
        <w:t xml:space="preserve"> </w:t>
      </w:r>
      <w:r w:rsidR="00884821" w:rsidRPr="00884821">
        <w:rPr>
          <w:rFonts w:eastAsia="Calibri"/>
          <w:sz w:val="24"/>
          <w:szCs w:val="24"/>
          <w:lang w:val="en-GB"/>
        </w:rPr>
        <w:t xml:space="preserve">and its </w:t>
      </w:r>
      <w:r w:rsidR="00884821" w:rsidRPr="00884821">
        <w:rPr>
          <w:rFonts w:eastAsia="Calibri"/>
          <w:b/>
          <w:sz w:val="24"/>
          <w:szCs w:val="24"/>
          <w:highlight w:val="darkGray"/>
          <w:lang w:val="en-GB"/>
        </w:rPr>
        <w:t>compliance with</w:t>
      </w:r>
      <w:r w:rsidR="00884821" w:rsidRPr="00884821">
        <w:rPr>
          <w:rFonts w:eastAsia="Calibri"/>
          <w:sz w:val="24"/>
          <w:szCs w:val="24"/>
          <w:lang w:val="en-GB"/>
        </w:rPr>
        <w:t xml:space="preserve"> available acquisition documents and license agreements are determined</w:t>
      </w:r>
      <w:r w:rsidR="007F51F0" w:rsidRPr="00884821">
        <w:rPr>
          <w:sz w:val="24"/>
          <w:szCs w:val="24"/>
          <w:lang w:val="en-GB"/>
        </w:rPr>
        <w:t>”.</w:t>
      </w:r>
    </w:p>
    <w:p w14:paraId="212F79AE" w14:textId="77777777" w:rsidR="00025AB6" w:rsidRPr="00884821" w:rsidRDefault="00025AB6">
      <w:pPr>
        <w:spacing w:line="200" w:lineRule="exact"/>
        <w:rPr>
          <w:lang w:val="en-GB"/>
        </w:rPr>
      </w:pPr>
    </w:p>
    <w:p w14:paraId="355BC6B4" w14:textId="77777777" w:rsidR="00025AB6" w:rsidRPr="00884821" w:rsidRDefault="00025AB6">
      <w:pPr>
        <w:spacing w:line="200" w:lineRule="exact"/>
        <w:rPr>
          <w:lang w:val="en-GB"/>
        </w:rPr>
      </w:pPr>
    </w:p>
    <w:p w14:paraId="1CE2AD9A" w14:textId="77777777" w:rsidR="00025AB6" w:rsidRPr="00884821" w:rsidRDefault="00025AB6">
      <w:pPr>
        <w:spacing w:line="200" w:lineRule="exact"/>
        <w:rPr>
          <w:lang w:val="en-GB"/>
        </w:rPr>
      </w:pPr>
    </w:p>
    <w:p w14:paraId="3F2AA7FD" w14:textId="77777777" w:rsidR="00025AB6" w:rsidRPr="00884821" w:rsidRDefault="00025AB6">
      <w:pPr>
        <w:spacing w:before="7" w:line="280" w:lineRule="exact"/>
        <w:rPr>
          <w:sz w:val="28"/>
          <w:szCs w:val="28"/>
          <w:lang w:val="en-GB"/>
        </w:rPr>
      </w:pPr>
    </w:p>
    <w:p w14:paraId="627B73D8" w14:textId="00330F77" w:rsidR="00025AB6" w:rsidRPr="00E85044" w:rsidRDefault="00135090" w:rsidP="00E85044">
      <w:pPr>
        <w:pStyle w:val="ListParagraph"/>
        <w:numPr>
          <w:ilvl w:val="0"/>
          <w:numId w:val="2"/>
        </w:numPr>
        <w:tabs>
          <w:tab w:val="left" w:pos="520"/>
        </w:tabs>
        <w:spacing w:before="29" w:line="275" w:lineRule="auto"/>
        <w:ind w:right="66"/>
        <w:jc w:val="both"/>
        <w:rPr>
          <w:sz w:val="24"/>
          <w:szCs w:val="24"/>
          <w:lang w:val="en-GB"/>
        </w:rPr>
      </w:pPr>
      <w:r w:rsidRPr="00E85044">
        <w:rPr>
          <w:b/>
          <w:sz w:val="24"/>
          <w:szCs w:val="24"/>
          <w:lang w:val="en-GB"/>
        </w:rPr>
        <w:t>Question</w:t>
      </w:r>
      <w:r w:rsidRPr="00E85044">
        <w:rPr>
          <w:sz w:val="24"/>
          <w:szCs w:val="24"/>
          <w:lang w:val="en-GB"/>
        </w:rPr>
        <w:t>: Do we correctly understand that an inventory of intangible assets is</w:t>
      </w:r>
      <w:r w:rsidR="001C24B8" w:rsidRPr="00E85044">
        <w:rPr>
          <w:sz w:val="24"/>
          <w:szCs w:val="24"/>
          <w:lang w:val="en-GB"/>
        </w:rPr>
        <w:t xml:space="preserve"> an obligation for all entities</w:t>
      </w:r>
      <w:r w:rsidRPr="00E85044">
        <w:rPr>
          <w:sz w:val="24"/>
          <w:szCs w:val="24"/>
          <w:lang w:val="en-GB"/>
        </w:rPr>
        <w:t xml:space="preserve">, both private and </w:t>
      </w:r>
      <w:r w:rsidRPr="00E85044">
        <w:rPr>
          <w:i/>
          <w:sz w:val="24"/>
          <w:szCs w:val="24"/>
          <w:lang w:val="en-GB"/>
        </w:rPr>
        <w:t>public</w:t>
      </w:r>
      <w:r w:rsidRPr="00E85044">
        <w:rPr>
          <w:sz w:val="24"/>
          <w:szCs w:val="24"/>
          <w:lang w:val="en-GB"/>
        </w:rPr>
        <w:t>?</w:t>
      </w:r>
    </w:p>
    <w:p w14:paraId="351804A1" w14:textId="77777777" w:rsidR="00025AB6" w:rsidRPr="00884821" w:rsidRDefault="00025AB6">
      <w:pPr>
        <w:spacing w:before="19" w:line="280" w:lineRule="exact"/>
        <w:rPr>
          <w:sz w:val="28"/>
          <w:szCs w:val="28"/>
          <w:lang w:val="en-GB"/>
        </w:rPr>
      </w:pPr>
    </w:p>
    <w:p w14:paraId="75766230" w14:textId="639CB381" w:rsidR="00025AB6" w:rsidRPr="00E85044" w:rsidRDefault="00135090" w:rsidP="00E85044">
      <w:pPr>
        <w:pStyle w:val="ListParagraph"/>
        <w:numPr>
          <w:ilvl w:val="0"/>
          <w:numId w:val="2"/>
        </w:numPr>
        <w:tabs>
          <w:tab w:val="left" w:pos="520"/>
        </w:tabs>
        <w:spacing w:line="277" w:lineRule="auto"/>
        <w:ind w:right="62"/>
        <w:jc w:val="both"/>
        <w:rPr>
          <w:sz w:val="24"/>
          <w:szCs w:val="24"/>
          <w:lang w:val="en-GB"/>
        </w:rPr>
      </w:pPr>
      <w:r w:rsidRPr="00E85044">
        <w:rPr>
          <w:b/>
          <w:sz w:val="24"/>
          <w:szCs w:val="24"/>
          <w:lang w:val="en-GB"/>
        </w:rPr>
        <w:t>Question</w:t>
      </w:r>
      <w:r w:rsidRPr="00E85044">
        <w:rPr>
          <w:sz w:val="24"/>
          <w:szCs w:val="24"/>
          <w:lang w:val="en-GB"/>
        </w:rPr>
        <w:t xml:space="preserve">: In your opinion, should the </w:t>
      </w:r>
      <w:r w:rsidRPr="00E85044">
        <w:rPr>
          <w:b/>
          <w:sz w:val="24"/>
          <w:szCs w:val="24"/>
          <w:u w:val="single"/>
          <w:lang w:val="en-GB"/>
        </w:rPr>
        <w:t>actual quantity of software and its compliance with the documentation</w:t>
      </w:r>
      <w:r w:rsidRPr="00E85044">
        <w:rPr>
          <w:sz w:val="24"/>
          <w:szCs w:val="24"/>
          <w:lang w:val="en-GB"/>
        </w:rPr>
        <w:t xml:space="preserve"> not be determined during an IT (information technology) audit?</w:t>
      </w:r>
    </w:p>
    <w:p w14:paraId="59A1B323" w14:textId="77777777" w:rsidR="00025AB6" w:rsidRPr="00884821" w:rsidRDefault="00025AB6">
      <w:pPr>
        <w:spacing w:before="6" w:line="100" w:lineRule="exact"/>
        <w:rPr>
          <w:sz w:val="11"/>
          <w:szCs w:val="11"/>
          <w:lang w:val="en-GB"/>
        </w:rPr>
      </w:pPr>
    </w:p>
    <w:p w14:paraId="2B622E8B" w14:textId="77777777" w:rsidR="00025AB6" w:rsidRPr="00884821" w:rsidRDefault="00025AB6">
      <w:pPr>
        <w:spacing w:line="200" w:lineRule="exact"/>
        <w:rPr>
          <w:lang w:val="en-GB"/>
        </w:rPr>
      </w:pPr>
    </w:p>
    <w:p w14:paraId="70A04264" w14:textId="7F73AA69" w:rsidR="00025AB6" w:rsidRPr="00E85044" w:rsidRDefault="00135090" w:rsidP="00E85044">
      <w:pPr>
        <w:pStyle w:val="ListParagraph"/>
        <w:numPr>
          <w:ilvl w:val="0"/>
          <w:numId w:val="2"/>
        </w:numPr>
        <w:tabs>
          <w:tab w:val="left" w:pos="520"/>
        </w:tabs>
        <w:spacing w:line="276" w:lineRule="auto"/>
        <w:ind w:right="64"/>
        <w:jc w:val="both"/>
        <w:rPr>
          <w:sz w:val="24"/>
          <w:szCs w:val="24"/>
          <w:lang w:val="en-GB"/>
        </w:rPr>
      </w:pPr>
      <w:r w:rsidRPr="00E85044">
        <w:rPr>
          <w:b/>
          <w:sz w:val="24"/>
          <w:szCs w:val="24"/>
          <w:lang w:val="en-GB"/>
        </w:rPr>
        <w:t>Question</w:t>
      </w:r>
      <w:r w:rsidRPr="00E85044">
        <w:rPr>
          <w:sz w:val="24"/>
          <w:szCs w:val="24"/>
          <w:lang w:val="en-GB"/>
        </w:rPr>
        <w:t xml:space="preserve">: Continuation of the third question, if, under the </w:t>
      </w:r>
      <w:r w:rsidRPr="00E85044">
        <w:rPr>
          <w:i/>
          <w:sz w:val="24"/>
          <w:szCs w:val="24"/>
          <w:lang w:val="en-GB"/>
        </w:rPr>
        <w:t>de facto</w:t>
      </w:r>
      <w:r w:rsidRPr="00E85044">
        <w:rPr>
          <w:sz w:val="24"/>
          <w:szCs w:val="24"/>
          <w:lang w:val="en-GB"/>
        </w:rPr>
        <w:t xml:space="preserve"> circumstances, the </w:t>
      </w:r>
      <w:r w:rsidRPr="00E85044">
        <w:rPr>
          <w:b/>
          <w:sz w:val="24"/>
          <w:szCs w:val="24"/>
          <w:lang w:val="en-GB"/>
        </w:rPr>
        <w:t>actual quantification and compliance of the software</w:t>
      </w:r>
      <w:r w:rsidRPr="00E85044">
        <w:rPr>
          <w:sz w:val="24"/>
          <w:szCs w:val="24"/>
          <w:lang w:val="en-GB"/>
        </w:rPr>
        <w:t xml:space="preserve"> is </w:t>
      </w:r>
      <w:r w:rsidRPr="00E85044">
        <w:rPr>
          <w:b/>
          <w:sz w:val="24"/>
          <w:szCs w:val="24"/>
          <w:u w:val="single"/>
          <w:lang w:val="en-GB"/>
        </w:rPr>
        <w:t>ONLY</w:t>
      </w:r>
      <w:r w:rsidRPr="00E85044">
        <w:rPr>
          <w:sz w:val="24"/>
          <w:szCs w:val="24"/>
          <w:lang w:val="en-GB"/>
        </w:rPr>
        <w:t xml:space="preserve"> possible during an IT (information technology) audit, how (by what method) can an inventory of intangible assets be properly carried out in accordance with the law?</w:t>
      </w:r>
    </w:p>
    <w:p w14:paraId="4F1FE380" w14:textId="77777777" w:rsidR="00025AB6" w:rsidRPr="00884821" w:rsidRDefault="00025AB6">
      <w:pPr>
        <w:spacing w:before="8" w:line="100" w:lineRule="exact"/>
        <w:rPr>
          <w:sz w:val="11"/>
          <w:szCs w:val="11"/>
          <w:lang w:val="en-GB"/>
        </w:rPr>
      </w:pPr>
    </w:p>
    <w:p w14:paraId="15677201" w14:textId="77777777" w:rsidR="00025AB6" w:rsidRPr="00884821" w:rsidRDefault="00025AB6">
      <w:pPr>
        <w:spacing w:line="200" w:lineRule="exact"/>
        <w:rPr>
          <w:lang w:val="en-GB"/>
        </w:rPr>
      </w:pPr>
    </w:p>
    <w:p w14:paraId="3C8D554C" w14:textId="02F673B5" w:rsidR="00025AB6" w:rsidRPr="00E85044" w:rsidRDefault="001C24B8" w:rsidP="00E85044">
      <w:pPr>
        <w:pStyle w:val="ListParagraph"/>
        <w:numPr>
          <w:ilvl w:val="0"/>
          <w:numId w:val="2"/>
        </w:numPr>
        <w:tabs>
          <w:tab w:val="left" w:pos="520"/>
        </w:tabs>
        <w:spacing w:line="275" w:lineRule="auto"/>
        <w:ind w:right="70"/>
        <w:jc w:val="both"/>
        <w:rPr>
          <w:sz w:val="24"/>
          <w:szCs w:val="24"/>
          <w:lang w:val="en-GB"/>
        </w:rPr>
      </w:pPr>
      <w:r w:rsidRPr="00E85044">
        <w:rPr>
          <w:b/>
          <w:sz w:val="24"/>
          <w:szCs w:val="24"/>
          <w:lang w:val="en-GB"/>
        </w:rPr>
        <w:t>Question</w:t>
      </w:r>
      <w:r w:rsidRPr="00E85044">
        <w:rPr>
          <w:sz w:val="24"/>
          <w:szCs w:val="24"/>
          <w:lang w:val="en-GB"/>
        </w:rPr>
        <w:t xml:space="preserve">: Is there a legal obligation to carry out an IT (information technology) audit for every entity, regardless of its legal form, including </w:t>
      </w:r>
      <w:r w:rsidRPr="00E85044">
        <w:rPr>
          <w:i/>
          <w:sz w:val="24"/>
          <w:szCs w:val="24"/>
          <w:lang w:val="en-GB"/>
        </w:rPr>
        <w:t>public sector entities</w:t>
      </w:r>
      <w:r w:rsidRPr="00E85044">
        <w:rPr>
          <w:sz w:val="24"/>
          <w:szCs w:val="24"/>
          <w:lang w:val="en-GB"/>
        </w:rPr>
        <w:t>?</w:t>
      </w:r>
    </w:p>
    <w:p w14:paraId="150E22A6" w14:textId="77777777" w:rsidR="00025AB6" w:rsidRPr="00884821" w:rsidRDefault="00025AB6">
      <w:pPr>
        <w:spacing w:before="1" w:line="100" w:lineRule="exact"/>
        <w:rPr>
          <w:sz w:val="10"/>
          <w:szCs w:val="10"/>
          <w:lang w:val="en-GB"/>
        </w:rPr>
      </w:pPr>
    </w:p>
    <w:p w14:paraId="5A53EC35" w14:textId="77777777" w:rsidR="00025AB6" w:rsidRPr="00884821" w:rsidRDefault="00025AB6">
      <w:pPr>
        <w:spacing w:line="200" w:lineRule="exact"/>
        <w:rPr>
          <w:lang w:val="en-GB"/>
        </w:rPr>
      </w:pPr>
    </w:p>
    <w:p w14:paraId="6099860B" w14:textId="37C9E8EE" w:rsidR="00025AB6" w:rsidRPr="00884821" w:rsidRDefault="000B35B1">
      <w:pPr>
        <w:ind w:left="106"/>
        <w:rPr>
          <w:sz w:val="24"/>
          <w:szCs w:val="24"/>
          <w:lang w:val="en-GB"/>
        </w:rPr>
      </w:pPr>
      <w:r w:rsidRPr="00884821">
        <w:rPr>
          <w:sz w:val="24"/>
          <w:szCs w:val="24"/>
          <w:lang w:val="en-GB"/>
        </w:rPr>
        <w:t xml:space="preserve">Director and auditor of UAB </w:t>
      </w:r>
      <w:proofErr w:type="spellStart"/>
      <w:r w:rsidRPr="00884821">
        <w:rPr>
          <w:sz w:val="24"/>
          <w:szCs w:val="24"/>
          <w:lang w:val="en-GB"/>
        </w:rPr>
        <w:t>Raimda</w:t>
      </w:r>
      <w:proofErr w:type="spellEnd"/>
      <w:r w:rsidRPr="00884821">
        <w:rPr>
          <w:sz w:val="24"/>
          <w:szCs w:val="24"/>
          <w:lang w:val="en-GB"/>
        </w:rPr>
        <w:t xml:space="preserve"> </w:t>
      </w:r>
      <w:proofErr w:type="spellStart"/>
      <w:r w:rsidRPr="00884821">
        <w:rPr>
          <w:sz w:val="24"/>
          <w:szCs w:val="24"/>
          <w:lang w:val="en-GB"/>
        </w:rPr>
        <w:t>auditas</w:t>
      </w:r>
      <w:proofErr w:type="spellEnd"/>
    </w:p>
    <w:p w14:paraId="7CB83733" w14:textId="141618BD" w:rsidR="00025AB6" w:rsidRPr="00884821" w:rsidRDefault="000B35B1">
      <w:pPr>
        <w:spacing w:before="21"/>
        <w:ind w:left="106"/>
        <w:rPr>
          <w:sz w:val="24"/>
          <w:szCs w:val="24"/>
          <w:lang w:val="en-GB"/>
        </w:rPr>
      </w:pPr>
      <w:r w:rsidRPr="00884821">
        <w:rPr>
          <w:sz w:val="24"/>
          <w:szCs w:val="24"/>
          <w:lang w:val="en-GB"/>
        </w:rPr>
        <w:t xml:space="preserve">Member of </w:t>
      </w:r>
      <w:r w:rsidR="001B1D6D" w:rsidRPr="00884821">
        <w:rPr>
          <w:sz w:val="24"/>
          <w:szCs w:val="24"/>
          <w:lang w:val="en-GB"/>
        </w:rPr>
        <w:t xml:space="preserve">ACCA (Association of Chartered Certified </w:t>
      </w:r>
      <w:r w:rsidRPr="00884821">
        <w:rPr>
          <w:sz w:val="24"/>
          <w:szCs w:val="24"/>
          <w:lang w:val="en-GB"/>
        </w:rPr>
        <w:t xml:space="preserve">Accountants) </w:t>
      </w:r>
      <w:proofErr w:type="spellStart"/>
      <w:r w:rsidR="001B1D6D" w:rsidRPr="00884821">
        <w:rPr>
          <w:sz w:val="24"/>
          <w:szCs w:val="24"/>
          <w:lang w:val="en-GB"/>
        </w:rPr>
        <w:t>Daiva</w:t>
      </w:r>
      <w:proofErr w:type="spellEnd"/>
      <w:r w:rsidR="001B1D6D" w:rsidRPr="00884821">
        <w:rPr>
          <w:sz w:val="24"/>
          <w:szCs w:val="24"/>
          <w:lang w:val="en-GB"/>
        </w:rPr>
        <w:t xml:space="preserve"> </w:t>
      </w:r>
      <w:proofErr w:type="spellStart"/>
      <w:r w:rsidR="001B1D6D" w:rsidRPr="00884821">
        <w:rPr>
          <w:sz w:val="24"/>
          <w:szCs w:val="24"/>
          <w:lang w:val="en-GB"/>
        </w:rPr>
        <w:t>Žumbakienė</w:t>
      </w:r>
      <w:proofErr w:type="spellEnd"/>
    </w:p>
    <w:sectPr w:rsidR="00025AB6" w:rsidRPr="00884821">
      <w:pgSz w:w="11920" w:h="16840"/>
      <w:pgMar w:top="1080" w:right="460" w:bottom="280" w:left="460" w:header="794" w:footer="156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AC83" w16cex:dateUtc="2020-12-14T07:18:00Z"/>
  <w16cex:commentExtensible w16cex:durableId="23807A4F" w16cex:dateUtc="2020-12-13T09:32:00Z"/>
  <w16cex:commentExtensible w16cex:durableId="2381ACB2" w16cex:dateUtc="2020-12-14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9111A" w16cid:durableId="2381AC6C"/>
  <w16cid:commentId w16cid:paraId="18EFBABF" w16cid:durableId="2381AC6D"/>
  <w16cid:commentId w16cid:paraId="151B7DF8" w16cid:durableId="2381AC83"/>
  <w16cid:commentId w16cid:paraId="50D59AAF" w16cid:durableId="23807A4F"/>
  <w16cid:commentId w16cid:paraId="1D808A9C" w16cid:durableId="2381AC6F"/>
  <w16cid:commentId w16cid:paraId="38B9D9DF" w16cid:durableId="2381AC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7A6F" w14:textId="77777777" w:rsidR="00B51223" w:rsidRDefault="00B51223">
      <w:r>
        <w:separator/>
      </w:r>
    </w:p>
  </w:endnote>
  <w:endnote w:type="continuationSeparator" w:id="0">
    <w:p w14:paraId="6EF1AC76" w14:textId="77777777" w:rsidR="00B51223" w:rsidRDefault="00B5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6D70" w14:textId="77777777" w:rsidR="000E38EF" w:rsidRDefault="00B51223">
    <w:pPr>
      <w:spacing w:line="200" w:lineRule="exact"/>
    </w:pPr>
    <w:r>
      <w:pict w14:anchorId="0125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35pt;margin-top:753.6pt;width:533.85pt;height:76.95pt;z-index:-251658240;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625A" w14:textId="77777777" w:rsidR="00B51223" w:rsidRDefault="00B51223">
      <w:r>
        <w:separator/>
      </w:r>
    </w:p>
  </w:footnote>
  <w:footnote w:type="continuationSeparator" w:id="0">
    <w:p w14:paraId="0A906446" w14:textId="77777777" w:rsidR="00B51223" w:rsidRDefault="00B5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DAA0" w14:textId="77777777" w:rsidR="000E38EF" w:rsidRDefault="00B51223">
    <w:pPr>
      <w:spacing w:line="200" w:lineRule="exact"/>
    </w:pPr>
    <w:r>
      <w:pict w14:anchorId="6CFEA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39.7pt;width:533.8pt;height:14.45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5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C87A53"/>
    <w:multiLevelType w:val="multilevel"/>
    <w:tmpl w:val="45067B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B6"/>
    <w:rsid w:val="00025AB6"/>
    <w:rsid w:val="000512FF"/>
    <w:rsid w:val="00095EB1"/>
    <w:rsid w:val="000B35B1"/>
    <w:rsid w:val="000E38EF"/>
    <w:rsid w:val="00135090"/>
    <w:rsid w:val="00145A11"/>
    <w:rsid w:val="001A0561"/>
    <w:rsid w:val="001B1D6D"/>
    <w:rsid w:val="001C24B8"/>
    <w:rsid w:val="00280074"/>
    <w:rsid w:val="00292003"/>
    <w:rsid w:val="003320D9"/>
    <w:rsid w:val="004E0FE3"/>
    <w:rsid w:val="005211A5"/>
    <w:rsid w:val="00650407"/>
    <w:rsid w:val="006C0CAB"/>
    <w:rsid w:val="006E6D74"/>
    <w:rsid w:val="007C570A"/>
    <w:rsid w:val="007F51F0"/>
    <w:rsid w:val="00884821"/>
    <w:rsid w:val="00895665"/>
    <w:rsid w:val="00940862"/>
    <w:rsid w:val="00A2494B"/>
    <w:rsid w:val="00AB665E"/>
    <w:rsid w:val="00B51223"/>
    <w:rsid w:val="00B656E3"/>
    <w:rsid w:val="00B72E19"/>
    <w:rsid w:val="00C64E6E"/>
    <w:rsid w:val="00CE207C"/>
    <w:rsid w:val="00E85044"/>
    <w:rsid w:val="00F1324D"/>
    <w:rsid w:val="00F6612B"/>
    <w:rsid w:val="00FD70DC"/>
    <w:rsid w:val="00F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50D071"/>
  <w15:docId w15:val="{05AF47B4-DE18-4D16-A9CA-A836D999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F1324D"/>
    <w:rPr>
      <w:sz w:val="16"/>
      <w:szCs w:val="16"/>
    </w:rPr>
  </w:style>
  <w:style w:type="paragraph" w:styleId="CommentText">
    <w:name w:val="annotation text"/>
    <w:basedOn w:val="Normal"/>
    <w:link w:val="CommentTextChar"/>
    <w:uiPriority w:val="99"/>
    <w:semiHidden/>
    <w:unhideWhenUsed/>
    <w:rsid w:val="00F1324D"/>
  </w:style>
  <w:style w:type="character" w:customStyle="1" w:styleId="CommentTextChar">
    <w:name w:val="Comment Text Char"/>
    <w:basedOn w:val="DefaultParagraphFont"/>
    <w:link w:val="CommentText"/>
    <w:uiPriority w:val="99"/>
    <w:semiHidden/>
    <w:rsid w:val="00F1324D"/>
  </w:style>
  <w:style w:type="paragraph" w:styleId="CommentSubject">
    <w:name w:val="annotation subject"/>
    <w:basedOn w:val="CommentText"/>
    <w:next w:val="CommentText"/>
    <w:link w:val="CommentSubjectChar"/>
    <w:uiPriority w:val="99"/>
    <w:semiHidden/>
    <w:unhideWhenUsed/>
    <w:rsid w:val="00F1324D"/>
    <w:rPr>
      <w:b/>
      <w:bCs/>
    </w:rPr>
  </w:style>
  <w:style w:type="character" w:customStyle="1" w:styleId="CommentSubjectChar">
    <w:name w:val="Comment Subject Char"/>
    <w:basedOn w:val="CommentTextChar"/>
    <w:link w:val="CommentSubject"/>
    <w:uiPriority w:val="99"/>
    <w:semiHidden/>
    <w:rsid w:val="00F1324D"/>
    <w:rPr>
      <w:b/>
      <w:bCs/>
    </w:rPr>
  </w:style>
  <w:style w:type="paragraph" w:styleId="BalloonText">
    <w:name w:val="Balloon Text"/>
    <w:basedOn w:val="Normal"/>
    <w:link w:val="BalloonTextChar"/>
    <w:uiPriority w:val="99"/>
    <w:semiHidden/>
    <w:unhideWhenUsed/>
    <w:rsid w:val="00F1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4D"/>
    <w:rPr>
      <w:rFonts w:ascii="Segoe UI" w:hAnsi="Segoe UI" w:cs="Segoe UI"/>
      <w:sz w:val="18"/>
      <w:szCs w:val="18"/>
    </w:rPr>
  </w:style>
  <w:style w:type="paragraph" w:styleId="ListParagraph">
    <w:name w:val="List Paragraph"/>
    <w:basedOn w:val="Normal"/>
    <w:uiPriority w:val="34"/>
    <w:qFormat/>
    <w:rsid w:val="00E8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audit.l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0F6D-CDB8-40E2-B615-530126FB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Laima</cp:lastModifiedBy>
  <cp:revision>3</cp:revision>
  <dcterms:created xsi:type="dcterms:W3CDTF">2020-12-29T21:44:00Z</dcterms:created>
  <dcterms:modified xsi:type="dcterms:W3CDTF">2020-12-29T21:49:00Z</dcterms:modified>
</cp:coreProperties>
</file>